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5" w:themeTint="33">
    <v:background id="_x0000_s1025" o:bwmode="white" fillcolor="#deeaf6 [664]">
      <v:fill r:id="rId4" o:title="Дранка" color2="#b4c6e7 [1300]" type="pattern"/>
    </v:background>
  </w:background>
  <w:body>
    <w:p w14:paraId="026D07D8" w14:textId="79C48E62" w:rsidR="006D0586" w:rsidRDefault="008B5748" w:rsidP="00E56D99">
      <w:pPr>
        <w:ind w:right="415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 </w:t>
      </w:r>
    </w:p>
    <w:p w14:paraId="30948CFD" w14:textId="76C15CF3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45D2E53B" w14:textId="77777777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2FA557B9" w14:textId="758FC547" w:rsidR="00E56D99" w:rsidRDefault="00173044" w:rsidP="00173044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noProof/>
          <w:sz w:val="32"/>
          <w:szCs w:val="28"/>
        </w:rPr>
        <w:drawing>
          <wp:inline distT="0" distB="0" distL="0" distR="0" wp14:anchorId="4D63551B" wp14:editId="76C4C393">
            <wp:extent cx="670560" cy="7131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2479D" w14:textId="74B43FED" w:rsidR="006D0586" w:rsidRP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Прокуратура Троицкого и Новомосковского   административных округов г. Москвы</w:t>
      </w:r>
    </w:p>
    <w:p w14:paraId="64EE01EF" w14:textId="09C89222" w:rsidR="006D0586" w:rsidRDefault="006D0586" w:rsidP="00F35B36">
      <w:pPr>
        <w:rPr>
          <w:b/>
          <w:bCs/>
          <w:sz w:val="32"/>
          <w:szCs w:val="28"/>
        </w:rPr>
      </w:pPr>
    </w:p>
    <w:p w14:paraId="717204FD" w14:textId="409AF821" w:rsidR="00B40CC1" w:rsidRDefault="004A3A19" w:rsidP="004A3A19">
      <w:pPr>
        <w:jc w:val="center"/>
        <w:rPr>
          <w:b/>
          <w:bCs/>
          <w:sz w:val="32"/>
          <w:szCs w:val="28"/>
        </w:rPr>
      </w:pPr>
      <w:r>
        <w:rPr>
          <w:b/>
          <w:bCs/>
          <w:noProof/>
          <w:sz w:val="32"/>
          <w:szCs w:val="28"/>
        </w:rPr>
        <w:drawing>
          <wp:inline distT="0" distB="0" distL="0" distR="0" wp14:anchorId="76B44F1B" wp14:editId="3C56D28C">
            <wp:extent cx="1962150" cy="1962150"/>
            <wp:effectExtent l="0" t="0" r="0" b="0"/>
            <wp:docPr id="10469972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973D3B" w14:textId="6D71FEBE" w:rsidR="00564B44" w:rsidRDefault="00564B44" w:rsidP="00564B44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Основные трудовые права в Российской Федерации</w:t>
      </w:r>
    </w:p>
    <w:p w14:paraId="3A00675F" w14:textId="77777777" w:rsidR="00564B44" w:rsidRDefault="00564B44" w:rsidP="00564B44"/>
    <w:p w14:paraId="07FB58A5" w14:textId="1A9F3928" w:rsidR="00564B44" w:rsidRPr="00564B44" w:rsidRDefault="004A3A19" w:rsidP="004A3A19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4FC3F5" wp14:editId="46A7B7F9">
            <wp:simplePos x="0" y="0"/>
            <wp:positionH relativeFrom="margin">
              <wp:posOffset>4099560</wp:posOffset>
            </wp:positionH>
            <wp:positionV relativeFrom="paragraph">
              <wp:posOffset>208280</wp:posOffset>
            </wp:positionV>
            <wp:extent cx="1438275" cy="1438275"/>
            <wp:effectExtent l="0" t="0" r="9525" b="9525"/>
            <wp:wrapTopAndBottom/>
            <wp:docPr id="13444546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B44" w:rsidRPr="00564B44">
        <w:t>Основные трудовые права регламентируются в статье 37 Конституции Р</w:t>
      </w:r>
      <w:r>
        <w:t>оссийской Федерации</w:t>
      </w:r>
      <w:r w:rsidR="00564B44" w:rsidRPr="00564B44">
        <w:t>, среди них:</w:t>
      </w:r>
    </w:p>
    <w:p w14:paraId="469FF20A" w14:textId="3FBF28CA" w:rsidR="00B40CC1" w:rsidRPr="00564B44" w:rsidRDefault="00564B44" w:rsidP="004A3A19">
      <w:pPr>
        <w:pStyle w:val="a3"/>
        <w:numPr>
          <w:ilvl w:val="0"/>
          <w:numId w:val="8"/>
        </w:numPr>
        <w:jc w:val="both"/>
        <w:rPr>
          <w:b/>
          <w:bCs/>
          <w:sz w:val="32"/>
          <w:szCs w:val="28"/>
        </w:rPr>
      </w:pPr>
      <w:r w:rsidRPr="00564B44">
        <w:t>Труд свободен. Каждый имеет право свободно распоряжаться своими</w:t>
      </w:r>
      <w:r w:rsidRPr="00564B44">
        <w:rPr>
          <w:b/>
          <w:bCs/>
        </w:rPr>
        <w:t xml:space="preserve"> </w:t>
      </w:r>
      <w:r w:rsidRPr="00564B44">
        <w:t xml:space="preserve">способностями </w:t>
      </w:r>
      <w:r w:rsidRPr="00564B44">
        <w:t>к труду,</w:t>
      </w:r>
      <w:r>
        <w:t xml:space="preserve"> </w:t>
      </w:r>
      <w:r w:rsidRPr="00564B44">
        <w:t>выбирать род деятельности и профессию.</w:t>
      </w:r>
    </w:p>
    <w:p w14:paraId="6FA048F5" w14:textId="55ABE665" w:rsidR="00564B44" w:rsidRDefault="00564B44" w:rsidP="004A3A19">
      <w:pPr>
        <w:pStyle w:val="a3"/>
        <w:numPr>
          <w:ilvl w:val="0"/>
          <w:numId w:val="8"/>
        </w:numPr>
        <w:jc w:val="both"/>
      </w:pPr>
      <w:r>
        <w:t>Принудительный труд запрещен.</w:t>
      </w:r>
    </w:p>
    <w:p w14:paraId="0FCA6085" w14:textId="5C9580D8" w:rsidR="00564B44" w:rsidRDefault="00564B44" w:rsidP="004A3A19">
      <w:pPr>
        <w:pStyle w:val="a3"/>
        <w:numPr>
          <w:ilvl w:val="0"/>
          <w:numId w:val="8"/>
        </w:numPr>
        <w:jc w:val="both"/>
      </w:pPr>
      <w:r>
        <w:t>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</w:t>
      </w:r>
      <w:r w:rsidR="004A3A19" w:rsidRPr="004A3A19">
        <w:t xml:space="preserve"> </w:t>
      </w:r>
    </w:p>
    <w:p w14:paraId="3B2A2C02" w14:textId="47AA8926" w:rsidR="00564B44" w:rsidRDefault="00564B44" w:rsidP="004A3A19">
      <w:pPr>
        <w:pStyle w:val="a3"/>
        <w:numPr>
          <w:ilvl w:val="0"/>
          <w:numId w:val="8"/>
        </w:numPr>
        <w:jc w:val="both"/>
      </w:pPr>
      <w:r>
        <w:t>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забастовку.</w:t>
      </w:r>
    </w:p>
    <w:p w14:paraId="211BF3E8" w14:textId="18AEF992" w:rsidR="00CD4956" w:rsidRDefault="00564B44" w:rsidP="004A3A19">
      <w:pPr>
        <w:pStyle w:val="a3"/>
        <w:numPr>
          <w:ilvl w:val="0"/>
          <w:numId w:val="8"/>
        </w:numPr>
        <w:jc w:val="both"/>
      </w:pPr>
      <w:r>
        <w:t xml:space="preserve">Каждый имеет право на отдых. Работающему по трудовому </w:t>
      </w:r>
      <w:r>
        <w:t>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</w:t>
      </w:r>
      <w:r w:rsidR="004A3A19" w:rsidRPr="004A3A19">
        <w:t xml:space="preserve"> </w:t>
      </w:r>
    </w:p>
    <w:p w14:paraId="2D7A1BD0" w14:textId="442117F5" w:rsidR="00B25A52" w:rsidRDefault="00893F0D" w:rsidP="00B25A52">
      <w:pPr>
        <w:jc w:val="both"/>
      </w:pPr>
      <w:r w:rsidRPr="00893F0D">
        <w:rPr>
          <w:noProof/>
        </w:rPr>
        <w:drawing>
          <wp:anchor distT="0" distB="0" distL="114300" distR="114300" simplePos="0" relativeHeight="251660288" behindDoc="0" locked="0" layoutInCell="1" allowOverlap="1" wp14:anchorId="44A0FBA7" wp14:editId="5A6EE24B">
            <wp:simplePos x="0" y="0"/>
            <wp:positionH relativeFrom="column">
              <wp:posOffset>4445</wp:posOffset>
            </wp:positionH>
            <wp:positionV relativeFrom="paragraph">
              <wp:posOffset>635</wp:posOffset>
            </wp:positionV>
            <wp:extent cx="533400" cy="533400"/>
            <wp:effectExtent l="0" t="0" r="0" b="0"/>
            <wp:wrapSquare wrapText="bothSides"/>
            <wp:docPr id="10638117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81179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A52">
        <w:t xml:space="preserve">Также следует отметить некоторые </w:t>
      </w:r>
      <w:r w:rsidRPr="00893F0D">
        <w:t>принципы правового регулирования трудовых отношений</w:t>
      </w:r>
      <w:r>
        <w:t xml:space="preserve"> </w:t>
      </w:r>
      <w:r w:rsidR="00B25A52">
        <w:t>из 2 статьи Трудового Кодекса Российской Федерации</w:t>
      </w:r>
      <w:r w:rsidR="00B25A52" w:rsidRPr="00B25A52">
        <w:t>,</w:t>
      </w:r>
      <w:r w:rsidR="00B25A52">
        <w:t xml:space="preserve"> а именно:</w:t>
      </w:r>
    </w:p>
    <w:p w14:paraId="37D0D9C1" w14:textId="498BD65D" w:rsidR="00B25A52" w:rsidRDefault="00B25A52" w:rsidP="00B25A52">
      <w:pPr>
        <w:pStyle w:val="a3"/>
        <w:numPr>
          <w:ilvl w:val="0"/>
          <w:numId w:val="9"/>
        </w:numPr>
        <w:jc w:val="both"/>
      </w:pPr>
      <w:r w:rsidRPr="00B25A52">
        <w:t>прав</w:t>
      </w:r>
      <w:r>
        <w:t>о</w:t>
      </w:r>
      <w:r w:rsidRPr="00B25A52">
        <w:t xml:space="preserve"> каждого работника на своевременную и в полном размере выплату справедливой заработной платы, обеспечивающей достойное человека существование для него самого и его семьи</w:t>
      </w:r>
    </w:p>
    <w:p w14:paraId="1639367B" w14:textId="1DCB660B" w:rsidR="00B25A52" w:rsidRDefault="00B25A52" w:rsidP="00B25A52">
      <w:pPr>
        <w:pStyle w:val="a3"/>
        <w:numPr>
          <w:ilvl w:val="0"/>
          <w:numId w:val="9"/>
        </w:numPr>
        <w:jc w:val="both"/>
      </w:pPr>
      <w:r w:rsidRPr="00B25A52">
        <w:t>установление государственных гарантий по обеспечению прав работников и работодателей, осуществление государственного контроля (надзора) за их соблюдением;</w:t>
      </w:r>
    </w:p>
    <w:p w14:paraId="0D0DCA72" w14:textId="66D9099C" w:rsidR="00B25A52" w:rsidRDefault="00B25A52" w:rsidP="00B25A52">
      <w:pPr>
        <w:pStyle w:val="a3"/>
        <w:numPr>
          <w:ilvl w:val="0"/>
          <w:numId w:val="9"/>
        </w:numPr>
        <w:jc w:val="both"/>
      </w:pPr>
      <w:r w:rsidRPr="00B25A52">
        <w:t>обеспечение права на обязательное социальное страхование работников.</w:t>
      </w:r>
    </w:p>
    <w:p w14:paraId="54F459BD" w14:textId="3A2EA42B" w:rsidR="00893F0D" w:rsidRDefault="00893F0D" w:rsidP="00B25A52">
      <w:pPr>
        <w:pStyle w:val="a3"/>
        <w:numPr>
          <w:ilvl w:val="0"/>
          <w:numId w:val="9"/>
        </w:numPr>
        <w:jc w:val="both"/>
      </w:pPr>
      <w:r w:rsidRPr="00893F0D">
        <w:lastRenderedPageBreak/>
        <w:t>обеспечение права работников и работодателей на объединение для защиты своих прав и интересов, включая право работников создавать профессиональные союзы и вступать в них, право работодателей создавать объединения работодателей и вступать в них;</w:t>
      </w:r>
    </w:p>
    <w:p w14:paraId="71C3A3C1" w14:textId="6ECA8166" w:rsidR="00893F0D" w:rsidRDefault="00893F0D" w:rsidP="00B25A52">
      <w:pPr>
        <w:pStyle w:val="a3"/>
        <w:numPr>
          <w:ilvl w:val="0"/>
          <w:numId w:val="9"/>
        </w:numPr>
        <w:jc w:val="both"/>
      </w:pPr>
      <w:r>
        <w:t xml:space="preserve">обязательность </w:t>
      </w:r>
      <w:r w:rsidRPr="00893F0D">
        <w:t>возмещени</w:t>
      </w:r>
      <w:r>
        <w:t>я</w:t>
      </w:r>
      <w:r w:rsidRPr="00893F0D">
        <w:t xml:space="preserve"> вреда, причиненного работнику в связи с исполнением им трудовых обязанностей;</w:t>
      </w:r>
    </w:p>
    <w:p w14:paraId="49693829" w14:textId="31BC5D12" w:rsidR="00893F0D" w:rsidRDefault="00893F0D" w:rsidP="00B25A52">
      <w:pPr>
        <w:pStyle w:val="a3"/>
        <w:numPr>
          <w:ilvl w:val="0"/>
          <w:numId w:val="9"/>
        </w:numPr>
        <w:jc w:val="both"/>
      </w:pPr>
      <w:r w:rsidRPr="00893F0D">
        <w:t>обязанность сторон трудового договора соблюдать условия заключенного договора,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работникам, трудового законодательства и иных актов, содержащих нормы трудового права;</w:t>
      </w:r>
    </w:p>
    <w:p w14:paraId="0DA657BB" w14:textId="3153535B" w:rsidR="00893F0D" w:rsidRDefault="00893F0D" w:rsidP="00B25A52">
      <w:pPr>
        <w:pStyle w:val="a3"/>
        <w:numPr>
          <w:ilvl w:val="0"/>
          <w:numId w:val="9"/>
        </w:numPr>
        <w:jc w:val="both"/>
      </w:pPr>
      <w:r w:rsidRPr="00893F0D">
        <w:t xml:space="preserve">обеспечение права работников на защиту своего достоинства </w:t>
      </w:r>
      <w:r w:rsidRPr="00893F0D">
        <w:t>в период трудовой деятельности;</w:t>
      </w:r>
    </w:p>
    <w:p w14:paraId="34965EBE" w14:textId="1E03792F" w:rsidR="00893F0D" w:rsidRDefault="00893F0D" w:rsidP="00B25A52">
      <w:pPr>
        <w:pStyle w:val="a3"/>
        <w:numPr>
          <w:ilvl w:val="0"/>
          <w:numId w:val="9"/>
        </w:numPr>
        <w:jc w:val="both"/>
      </w:pPr>
      <w:r w:rsidRPr="004A3A19">
        <w:rPr>
          <w:noProof/>
        </w:rPr>
        <w:drawing>
          <wp:anchor distT="0" distB="0" distL="114300" distR="114300" simplePos="0" relativeHeight="251658240" behindDoc="0" locked="0" layoutInCell="1" allowOverlap="1" wp14:anchorId="0B39974C" wp14:editId="6A1542B6">
            <wp:simplePos x="0" y="0"/>
            <wp:positionH relativeFrom="column">
              <wp:posOffset>1574165</wp:posOffset>
            </wp:positionH>
            <wp:positionV relativeFrom="paragraph">
              <wp:posOffset>2021205</wp:posOffset>
            </wp:positionV>
            <wp:extent cx="1276350" cy="1276350"/>
            <wp:effectExtent l="0" t="0" r="0" b="0"/>
            <wp:wrapNone/>
            <wp:docPr id="14858167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81677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3F0D">
        <w:t>обеспечение равенства возможностей работников без всякой дискриминации на продвижение по работе с учетом производительности труда, квалификации и стажа работы по специальности, а также на подготовку и дополнительное профессиональное образование</w:t>
      </w:r>
      <w:r>
        <w:t>.</w:t>
      </w:r>
    </w:p>
    <w:p w14:paraId="63C8FEC7" w14:textId="1CC71F2B" w:rsidR="00B25A52" w:rsidRPr="00D610B7" w:rsidRDefault="00B25A52" w:rsidP="00B25A52">
      <w:pPr>
        <w:jc w:val="both"/>
      </w:pPr>
    </w:p>
    <w:sectPr w:rsidR="00B25A52" w:rsidRPr="00D610B7" w:rsidSect="002C5065">
      <w:pgSz w:w="16838" w:h="11906" w:orient="landscape"/>
      <w:pgMar w:top="567" w:right="1134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C8F"/>
    <w:multiLevelType w:val="hybridMultilevel"/>
    <w:tmpl w:val="EFD66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22F82"/>
    <w:multiLevelType w:val="hybridMultilevel"/>
    <w:tmpl w:val="887683AC"/>
    <w:lvl w:ilvl="0" w:tplc="8CD2C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0F52"/>
    <w:multiLevelType w:val="hybridMultilevel"/>
    <w:tmpl w:val="FF42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B7758"/>
    <w:multiLevelType w:val="hybridMultilevel"/>
    <w:tmpl w:val="9126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E2F62"/>
    <w:multiLevelType w:val="hybridMultilevel"/>
    <w:tmpl w:val="5C966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C1059"/>
    <w:multiLevelType w:val="hybridMultilevel"/>
    <w:tmpl w:val="13E23D4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24FBD"/>
    <w:multiLevelType w:val="hybridMultilevel"/>
    <w:tmpl w:val="5A5E654E"/>
    <w:lvl w:ilvl="0" w:tplc="8CD2C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97ECC"/>
    <w:multiLevelType w:val="hybridMultilevel"/>
    <w:tmpl w:val="5394B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A0F44"/>
    <w:multiLevelType w:val="hybridMultilevel"/>
    <w:tmpl w:val="7B8291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0288620">
    <w:abstractNumId w:val="2"/>
  </w:num>
  <w:num w:numId="2" w16cid:durableId="2109570320">
    <w:abstractNumId w:val="0"/>
  </w:num>
  <w:num w:numId="3" w16cid:durableId="2091731314">
    <w:abstractNumId w:val="8"/>
  </w:num>
  <w:num w:numId="4" w16cid:durableId="862397516">
    <w:abstractNumId w:val="3"/>
  </w:num>
  <w:num w:numId="5" w16cid:durableId="2115325421">
    <w:abstractNumId w:val="5"/>
  </w:num>
  <w:num w:numId="6" w16cid:durableId="273679529">
    <w:abstractNumId w:val="7"/>
  </w:num>
  <w:num w:numId="7" w16cid:durableId="2132092818">
    <w:abstractNumId w:val="6"/>
  </w:num>
  <w:num w:numId="8" w16cid:durableId="1182862386">
    <w:abstractNumId w:val="1"/>
  </w:num>
  <w:num w:numId="9" w16cid:durableId="711618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36"/>
    <w:rsid w:val="00173044"/>
    <w:rsid w:val="00196919"/>
    <w:rsid w:val="002C5065"/>
    <w:rsid w:val="00414921"/>
    <w:rsid w:val="0048114D"/>
    <w:rsid w:val="004A3A19"/>
    <w:rsid w:val="00511D5B"/>
    <w:rsid w:val="00564B44"/>
    <w:rsid w:val="005C4C67"/>
    <w:rsid w:val="006D0586"/>
    <w:rsid w:val="0078495E"/>
    <w:rsid w:val="00811282"/>
    <w:rsid w:val="00893F0D"/>
    <w:rsid w:val="008B5748"/>
    <w:rsid w:val="00AA74ED"/>
    <w:rsid w:val="00B24CE1"/>
    <w:rsid w:val="00B25A52"/>
    <w:rsid w:val="00B40CC1"/>
    <w:rsid w:val="00CD4956"/>
    <w:rsid w:val="00D610B7"/>
    <w:rsid w:val="00E56D99"/>
    <w:rsid w:val="00F35B36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0F07"/>
  <w15:chartTrackingRefBased/>
  <w15:docId w15:val="{B25CC17C-C550-47C0-B7CD-5D9EE07C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B3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25A5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25A5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25A5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5A5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25A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openxmlformats.org/officeDocument/2006/relationships/image" Target="media/image1.gi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6C0C-9109-4718-821B-FEBED59E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Khemasheva, Andzhela</dc:creator>
  <cp:keywords/>
  <dc:description/>
  <cp:lastModifiedBy>Заур</cp:lastModifiedBy>
  <cp:revision>3</cp:revision>
  <dcterms:created xsi:type="dcterms:W3CDTF">2024-02-09T08:03:00Z</dcterms:created>
  <dcterms:modified xsi:type="dcterms:W3CDTF">2024-02-09T13:04:00Z</dcterms:modified>
</cp:coreProperties>
</file>